
<file path=[Content_Types].xml><?xml version="1.0" encoding="utf-8"?>
<Types xmlns="http://schemas.openxmlformats.org/package/2006/content-types">
  <Default Extension="jpg" ContentType="application/octet-stream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b w:val="1"/>
          <w:sz w:val="40"/>
          <w:szCs w:val="40"/>
          <w:shd w:val="clear"/>
          <w:rFonts w:ascii="Arial Narrow" w:hAnsi="Arial Narrow"/>
        </w:rPr>
      </w:pPr>
      <w:r>
        <w:rPr>
          <w:b w:val="1"/>
          <w:sz w:val="40"/>
          <w:szCs w:val="40"/>
          <w:shd w:val="clear"/>
          <w:rFonts w:ascii="Arial Narrow" w:hAnsi="Arial Narrow"/>
        </w:rPr>
        <w:t xml:space="preserve">La alcaldesa destaca el gran impacto y retorno para la </w:t>
      </w:r>
      <w:r>
        <w:rPr>
          <w:b w:val="1"/>
          <w:sz w:val="40"/>
          <w:szCs w:val="40"/>
          <w:shd w:val="clear"/>
          <w:rFonts w:ascii="Arial Narrow" w:hAnsi="Arial Narrow"/>
        </w:rPr>
        <w:t xml:space="preserve">ciudad que ha tenido la designación de Jerez como </w:t>
      </w:r>
      <w:r>
        <w:rPr>
          <w:b w:val="1"/>
          <w:sz w:val="40"/>
          <w:szCs w:val="40"/>
          <w:shd w:val="clear"/>
          <w:rFonts w:ascii="Arial Narrow" w:hAnsi="Arial Narrow"/>
        </w:rPr>
        <w:t xml:space="preserve">Capital Española de la Gastronomía</w:t>
      </w:r>
    </w:p>
    <w:p>
      <w:pPr>
        <w:jc w:val="both"/>
        <w:rPr>
          <w:sz w:val="32"/>
          <w:szCs w:val="32"/>
          <w:shd w:val="clear"/>
          <w:rFonts w:ascii="Arial Narrow" w:hAnsi="Arial Narrow"/>
        </w:rPr>
      </w:pPr>
    </w:p>
    <w:p>
      <w:pPr>
        <w:rPr>
          <w:sz w:val="36"/>
          <w:szCs w:val="36"/>
          <w:shd w:val="clear"/>
          <w:rFonts w:ascii="Arial Narrow" w:hAnsi="Arial Narrow"/>
        </w:rPr>
      </w:pPr>
      <w:r>
        <w:rPr>
          <w:sz w:val="36"/>
          <w:szCs w:val="36"/>
          <w:shd w:val="clear"/>
          <w:rFonts w:ascii="Arial Narrow" w:hAnsi="Arial Narrow"/>
        </w:rPr>
        <w:t xml:space="preserve">La noticia ha </w:t>
      </w:r>
      <w:r>
        <w:rPr>
          <w:sz w:val="36"/>
          <w:szCs w:val="36"/>
          <w:shd w:val="clear"/>
          <w:rFonts w:ascii="Arial Narrow" w:hAnsi="Arial Narrow"/>
        </w:rPr>
        <w:t>alcanzado</w:t>
      </w:r>
      <w:r>
        <w:rPr>
          <w:sz w:val="36"/>
          <w:szCs w:val="36"/>
          <w:shd w:val="clear"/>
          <w:rFonts w:ascii="Arial Narrow" w:hAnsi="Arial Narrow"/>
        </w:rPr>
        <w:t xml:space="preserve"> una equivalencia del valor publicitario de </w:t>
      </w:r>
      <w:r>
        <w:rPr>
          <w:sz w:val="36"/>
          <w:szCs w:val="36"/>
          <w:shd w:val="clear"/>
          <w:rFonts w:ascii="Arial Narrow" w:hAnsi="Arial Narrow"/>
        </w:rPr>
        <w:t xml:space="preserve">2,8 millones de euros </w:t>
      </w:r>
      <w:r>
        <w:rPr>
          <w:sz w:val="36"/>
          <w:szCs w:val="36"/>
          <w:shd w:val="clear"/>
          <w:rFonts w:ascii="Arial Narrow" w:hAnsi="Arial Narrow"/>
        </w:rPr>
        <w:t xml:space="preserve">en sólo una semana</w:t>
      </w:r>
    </w:p>
    <w:p>
      <w:pPr>
        <w:rPr>
          <w:shd w:val="clear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b w:val="1"/>
          <w:sz w:val="26"/>
          <w:szCs w:val="26"/>
          <w:shd w:val="clear"/>
          <w:rFonts w:ascii="Arial Narrow" w:hAnsi="Arial Narrow"/>
        </w:rPr>
        <w:t xml:space="preserve">24 de octubre 2025</w:t>
      </w:r>
      <w:r>
        <w:rPr>
          <w:sz w:val="26"/>
          <w:szCs w:val="26"/>
          <w:shd w:val="clear"/>
          <w:rFonts w:ascii="Arial Narrow" w:hAnsi="Arial Narrow"/>
        </w:rPr>
        <w:t xml:space="preserve">. La alcaldesa de Jerez, María José García-Pelayo, junto a Mariano </w:t>
      </w:r>
      <w:r>
        <w:rPr>
          <w:sz w:val="26"/>
          <w:szCs w:val="26"/>
          <w:shd w:val="clear"/>
          <w:rFonts w:ascii="Arial Narrow" w:hAnsi="Arial Narrow"/>
        </w:rPr>
        <w:t xml:space="preserve">Palacín, presidente de Capital Española de la Gastronomía y presidente de la Federación </w:t>
      </w:r>
      <w:r>
        <w:rPr>
          <w:sz w:val="26"/>
          <w:szCs w:val="26"/>
          <w:shd w:val="clear"/>
          <w:rFonts w:ascii="Arial Narrow" w:hAnsi="Arial Narrow"/>
        </w:rPr>
        <w:t xml:space="preserve">Española de Periodistas y Escritores de Turismo (FEPET), Pedro Palacios, director de la </w:t>
      </w:r>
      <w:r>
        <w:rPr>
          <w:sz w:val="26"/>
          <w:szCs w:val="26"/>
          <w:shd w:val="clear"/>
          <w:rFonts w:ascii="Arial Narrow" w:hAnsi="Arial Narrow"/>
        </w:rPr>
        <w:t xml:space="preserve">Capital Española de la Gastronomía, Alfredo Carrasco, presidente Hostelería Jerez y  </w:t>
      </w:r>
      <w:r>
        <w:rPr>
          <w:sz w:val="26"/>
          <w:szCs w:val="26"/>
          <w:shd w:val="clear"/>
          <w:rFonts w:ascii="Arial Narrow" w:hAnsi="Arial Narrow"/>
        </w:rPr>
        <w:t xml:space="preserve">Antonio de María Ceballos, presidente de Horeca, ha presentado la Capital Española de </w:t>
      </w:r>
      <w:r>
        <w:rPr>
          <w:sz w:val="26"/>
          <w:szCs w:val="26"/>
          <w:shd w:val="clear"/>
          <w:rFonts w:ascii="Arial Narrow" w:hAnsi="Arial Narrow"/>
        </w:rPr>
        <w:t xml:space="preserve">la Gastronomía tras una reunión mantenida en el Ayuntamiento entre los responsables y </w:t>
      </w:r>
      <w:r>
        <w:rPr>
          <w:sz w:val="26"/>
          <w:szCs w:val="26"/>
          <w:shd w:val="clear"/>
          <w:rFonts w:ascii="Arial Narrow" w:hAnsi="Arial Narrow"/>
        </w:rPr>
        <w:t xml:space="preserve">organizadores de este galardón y una comisión municipal. 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Una noticia que ha tenido una equivalencia del valor publicitario de 2,8 millones de euros</w:t>
      </w:r>
      <w:r>
        <w:rPr>
          <w:sz w:val="26"/>
          <w:szCs w:val="26"/>
          <w:shd w:val="clear"/>
          <w:rFonts w:ascii="Arial Narrow" w:hAnsi="Arial Narrow"/>
        </w:rPr>
        <w:t xml:space="preserve">, </w:t>
      </w:r>
      <w:r>
        <w:rPr>
          <w:sz w:val="26"/>
          <w:szCs w:val="26"/>
          <w:shd w:val="clear"/>
          <w:rFonts w:ascii="Arial Narrow" w:hAnsi="Arial Narrow"/>
        </w:rPr>
        <w:t xml:space="preserve">en sólo una semana, </w:t>
      </w:r>
      <w:r>
        <w:rPr>
          <w:sz w:val="26"/>
          <w:szCs w:val="26"/>
          <w:shd w:val="clear"/>
          <w:rFonts w:ascii="Arial Narrow" w:hAnsi="Arial Narrow"/>
        </w:rPr>
        <w:t xml:space="preserve">gracias a las 234 informaciones que ha tenido en la prensa </w:t>
      </w:r>
      <w:r>
        <w:rPr>
          <w:sz w:val="26"/>
          <w:szCs w:val="26"/>
          <w:shd w:val="clear"/>
          <w:rFonts w:ascii="Arial Narrow" w:hAnsi="Arial Narrow"/>
        </w:rPr>
        <w:t xml:space="preserve">española (sin contar medios audiovisuales) tras conocerse el fallo del jurado el pasado </w:t>
      </w:r>
      <w:r>
        <w:rPr>
          <w:sz w:val="26"/>
          <w:szCs w:val="26"/>
          <w:shd w:val="clear"/>
          <w:rFonts w:ascii="Arial Narrow" w:hAnsi="Arial Narrow"/>
        </w:rPr>
        <w:t xml:space="preserve">día 17, lo que se traduce en una audiencia de 446 millones de lectores según los </w:t>
      </w:r>
      <w:r>
        <w:rPr>
          <w:sz w:val="26"/>
          <w:szCs w:val="26"/>
          <w:shd w:val="clear"/>
          <w:rFonts w:ascii="Arial Narrow" w:hAnsi="Arial Narrow"/>
        </w:rPr>
        <w:t>organizadores.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“Son datos que ponen en valor este galardón concedido; una notoriedad que nos hace  </w:t>
      </w:r>
      <w:r>
        <w:rPr>
          <w:sz w:val="26"/>
          <w:szCs w:val="26"/>
          <w:shd w:val="clear"/>
          <w:rFonts w:ascii="Arial Narrow" w:hAnsi="Arial Narrow"/>
        </w:rPr>
        <w:t xml:space="preserve">valorar lo acertado de la decisión que hemos tomado”, ha dicho la alcaldesa en su </w:t>
      </w:r>
      <w:r>
        <w:rPr>
          <w:sz w:val="26"/>
          <w:szCs w:val="26"/>
          <w:shd w:val="clear"/>
          <w:rFonts w:ascii="Arial Narrow" w:hAnsi="Arial Narrow"/>
        </w:rPr>
        <w:t xml:space="preserve">intervención ante los medios de comunicación a quienes ha recordado que “el turista </w:t>
      </w:r>
      <w:r>
        <w:rPr>
          <w:sz w:val="26"/>
          <w:szCs w:val="26"/>
          <w:shd w:val="clear"/>
          <w:rFonts w:ascii="Arial Narrow" w:hAnsi="Arial Narrow"/>
        </w:rPr>
        <w:t xml:space="preserve">gasta el 26% de su presupuesto en comer y beber”. García-Pelayo, quien ha agradecido </w:t>
      </w:r>
      <w:r>
        <w:rPr>
          <w:sz w:val="26"/>
          <w:szCs w:val="26"/>
          <w:shd w:val="clear"/>
          <w:rFonts w:ascii="Arial Narrow" w:hAnsi="Arial Narrow"/>
        </w:rPr>
        <w:t xml:space="preserve">a Jerez su implicación en esta candidatura así como a todo el sector de la hostelería, ha </w:t>
      </w:r>
      <w:r>
        <w:rPr>
          <w:sz w:val="26"/>
          <w:szCs w:val="26"/>
          <w:shd w:val="clear"/>
          <w:rFonts w:ascii="Arial Narrow" w:hAnsi="Arial Narrow"/>
        </w:rPr>
        <w:t xml:space="preserve">remarcado que “es un reto que tenemos por delante y tenemos que demostrar que lo que </w:t>
      </w:r>
      <w:r>
        <w:rPr>
          <w:sz w:val="26"/>
          <w:szCs w:val="26"/>
          <w:shd w:val="clear"/>
          <w:rFonts w:ascii="Arial Narrow" w:hAnsi="Arial Narrow"/>
        </w:rPr>
        <w:t xml:space="preserve">recoge el dossier es una realidad gracias a la actividad de una ciudad vinculada a </w:t>
      </w:r>
      <w:r>
        <w:rPr>
          <w:sz w:val="26"/>
          <w:szCs w:val="26"/>
          <w:shd w:val="clear"/>
          <w:rFonts w:ascii="Arial Narrow" w:hAnsi="Arial Narrow"/>
        </w:rPr>
        <w:t xml:space="preserve">múltiples eventos”.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Por parte de la organización de CEG, su director, Pedro Palacios, ha explicado los </w:t>
      </w:r>
      <w:r>
        <w:rPr>
          <w:sz w:val="26"/>
          <w:szCs w:val="26"/>
          <w:shd w:val="clear"/>
          <w:rFonts w:ascii="Arial Narrow" w:hAnsi="Arial Narrow"/>
        </w:rPr>
        <w:t xml:space="preserve">méritos por los que el jurado ha elegido a una ciudad como Jerez. “Su fortaleza </w:t>
      </w:r>
      <w:r>
        <w:rPr>
          <w:sz w:val="26"/>
          <w:szCs w:val="26"/>
          <w:shd w:val="clear"/>
          <w:rFonts w:ascii="Arial Narrow" w:hAnsi="Arial Narrow"/>
        </w:rPr>
        <w:t xml:space="preserve">gastronómica, el ser un destino turístico acreditado, un rico programa de actividades… </w:t>
      </w:r>
      <w:r>
        <w:rPr>
          <w:sz w:val="26"/>
          <w:szCs w:val="26"/>
          <w:shd w:val="clear"/>
          <w:rFonts w:ascii="Arial Narrow" w:hAnsi="Arial Narrow"/>
        </w:rPr>
        <w:t xml:space="preserve">Es un orgullo para nosotros el contar con esta ciudad y con el liderazgo de su </w:t>
      </w:r>
      <w:r>
        <w:rPr>
          <w:sz w:val="26"/>
          <w:szCs w:val="26"/>
          <w:shd w:val="clear"/>
          <w:rFonts w:ascii="Arial Narrow" w:hAnsi="Arial Narrow"/>
        </w:rPr>
        <w:t xml:space="preserve">ayuntamiento en el proyecto y contribuir con esta capitalidad a la candidatura a Capital </w:t>
      </w:r>
      <w:r>
        <w:rPr>
          <w:sz w:val="26"/>
          <w:szCs w:val="26"/>
          <w:shd w:val="clear"/>
          <w:rFonts w:ascii="Arial Narrow" w:hAnsi="Arial Narrow"/>
        </w:rPr>
        <w:t xml:space="preserve">Europea de la Cultura”, ha dicho.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El presidente de esta entidad, Mariano Palacín, ha recordado que “para todas las </w:t>
      </w:r>
      <w:r>
        <w:rPr>
          <w:sz w:val="26"/>
          <w:szCs w:val="26"/>
          <w:shd w:val="clear"/>
          <w:rFonts w:ascii="Arial Narrow" w:hAnsi="Arial Narrow"/>
        </w:rPr>
        <w:t xml:space="preserve">ciudades que con anterioridad han ejercido la capitalidad gastronómica ha sido un </w:t>
      </w:r>
      <w:r>
        <w:rPr>
          <w:sz w:val="26"/>
          <w:szCs w:val="26"/>
          <w:shd w:val="clear"/>
          <w:rFonts w:ascii="Arial Narrow" w:hAnsi="Arial Narrow"/>
        </w:rPr>
        <w:t xml:space="preserve">revulsivo como lo será para Jerez. Somos conscientes de que ser Capital Europea de la </w:t>
      </w:r>
      <w:r>
        <w:rPr>
          <w:sz w:val="26"/>
          <w:szCs w:val="26"/>
          <w:shd w:val="clear"/>
          <w:rFonts w:ascii="Arial Narrow" w:hAnsi="Arial Narrow"/>
        </w:rPr>
        <w:t xml:space="preserve">Gastronomía significará un antes y un después para la ciudad”.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Los representantes de hostelería Alfredo Carrasco (Asociación Hostelería Jerez) y </w:t>
      </w:r>
      <w:r>
        <w:rPr>
          <w:sz w:val="26"/>
          <w:szCs w:val="26"/>
          <w:shd w:val="clear"/>
          <w:rFonts w:ascii="Arial Narrow" w:hAnsi="Arial Narrow"/>
        </w:rPr>
        <w:t xml:space="preserve">Antonio De María (Horeca) han recordado los muchos atractivos gastronómicos que la </w:t>
      </w:r>
      <w:r>
        <w:rPr>
          <w:sz w:val="26"/>
          <w:szCs w:val="26"/>
          <w:shd w:val="clear"/>
          <w:rFonts w:ascii="Arial Narrow" w:hAnsi="Arial Narrow"/>
        </w:rPr>
        <w:t xml:space="preserve">ciudad tiene para hacerse merecedora de este galardón y han puesto de relieve también </w:t>
      </w:r>
      <w:r>
        <w:rPr>
          <w:sz w:val="26"/>
          <w:szCs w:val="26"/>
          <w:shd w:val="clear"/>
          <w:rFonts w:ascii="Arial Narrow" w:hAnsi="Arial Narrow"/>
        </w:rPr>
        <w:t xml:space="preserve">el reto que supone este título para un sector que ha de estar a la altura de las </w:t>
      </w:r>
      <w:r>
        <w:rPr>
          <w:sz w:val="26"/>
          <w:szCs w:val="26"/>
          <w:shd w:val="clear"/>
          <w:rFonts w:ascii="Arial Narrow" w:hAnsi="Arial Narrow"/>
        </w:rPr>
        <w:t xml:space="preserve">circunstancias para un año tan importante. 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Jerez recogerá el título de CEG 26 de manos de Alicante -actual capital- durante el </w:t>
      </w:r>
      <w:r>
        <w:rPr>
          <w:sz w:val="26"/>
          <w:szCs w:val="26"/>
          <w:shd w:val="clear"/>
          <w:rFonts w:ascii="Arial Narrow" w:hAnsi="Arial Narrow"/>
        </w:rPr>
        <w:t xml:space="preserve">transcurso de FITUR 2026 momento desde el que ejercerá la titularidad y se pondrán en </w:t>
      </w:r>
      <w:r>
        <w:rPr>
          <w:sz w:val="26"/>
          <w:szCs w:val="26"/>
          <w:shd w:val="clear"/>
          <w:rFonts w:ascii="Arial Narrow" w:hAnsi="Arial Narrow"/>
        </w:rPr>
        <w:t xml:space="preserve">marcha todas las actividades programadas. La Capital Española de la Gastronomía es un </w:t>
      </w:r>
      <w:r>
        <w:rPr>
          <w:sz w:val="26"/>
          <w:szCs w:val="26"/>
          <w:shd w:val="clear"/>
          <w:rFonts w:ascii="Arial Narrow" w:hAnsi="Arial Narrow"/>
        </w:rPr>
        <w:t xml:space="preserve">galardón de periodicidad anual que tiene como objetivo reconocer a la Ciudad-Comunidad </w:t>
      </w:r>
      <w:r>
        <w:rPr>
          <w:sz w:val="26"/>
          <w:szCs w:val="26"/>
          <w:shd w:val="clear"/>
          <w:rFonts w:ascii="Arial Narrow" w:hAnsi="Arial Narrow"/>
        </w:rPr>
        <w:t xml:space="preserve">que más haya destacado en la promoción (a nivel nacional e internacional) de la </w:t>
      </w:r>
      <w:r>
        <w:rPr>
          <w:sz w:val="26"/>
          <w:szCs w:val="26"/>
          <w:shd w:val="clear"/>
          <w:rFonts w:ascii="Arial Narrow" w:hAnsi="Arial Narrow"/>
        </w:rPr>
        <w:t xml:space="preserve">gastronomía como uno de los principales atractivos del turismo en España.  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La ciudad ha resaltado en su dossier la cocina gitana, los Tabancos, Peñas y Mostos, la </w:t>
      </w:r>
      <w:r>
        <w:rPr>
          <w:sz w:val="26"/>
          <w:szCs w:val="26"/>
          <w:shd w:val="clear"/>
          <w:rFonts w:ascii="Arial Narrow" w:hAnsi="Arial Narrow"/>
        </w:rPr>
        <w:t xml:space="preserve">Alta cocina representada por dos restaurantes con Estrellas Michelín, el producto de </w:t>
      </w:r>
      <w:r>
        <w:rPr>
          <w:sz w:val="26"/>
          <w:szCs w:val="26"/>
          <w:shd w:val="clear"/>
          <w:rFonts w:ascii="Arial Narrow" w:hAnsi="Arial Narrow"/>
        </w:rPr>
        <w:t xml:space="preserve">kilómetro 0 de la campiña, el maridaje del Flamenco y la cocina además de un recetario </w:t>
      </w:r>
      <w:r>
        <w:rPr>
          <w:sz w:val="26"/>
          <w:szCs w:val="26"/>
          <w:shd w:val="clear"/>
          <w:rFonts w:ascii="Arial Narrow" w:hAnsi="Arial Narrow"/>
        </w:rPr>
        <w:t xml:space="preserve">único. En el mismo se recoge un amplio y ambicioso programa de 54 actividades </w:t>
      </w:r>
      <w:r>
        <w:rPr>
          <w:sz w:val="26"/>
          <w:szCs w:val="26"/>
          <w:shd w:val="clear"/>
          <w:rFonts w:ascii="Arial Narrow" w:hAnsi="Arial Narrow"/>
        </w:rPr>
        <w:t xml:space="preserve">planificadas a lo largo del año 2026 definidas en colaboración con los agentes del </w:t>
      </w:r>
      <w:r>
        <w:rPr>
          <w:sz w:val="26"/>
          <w:szCs w:val="26"/>
          <w:shd w:val="clear"/>
          <w:rFonts w:ascii="Arial Narrow" w:hAnsi="Arial Narrow"/>
        </w:rPr>
        <w:t xml:space="preserve">territorio y que se mantendrá vivo durante todo el año, incorporando todas los eventos y </w:t>
      </w:r>
      <w:r>
        <w:rPr>
          <w:sz w:val="26"/>
          <w:szCs w:val="26"/>
          <w:shd w:val="clear"/>
          <w:rFonts w:ascii="Arial Narrow" w:hAnsi="Arial Narrow"/>
        </w:rPr>
        <w:t xml:space="preserve">actividades de carácter gastronómico.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[Se adjunta fotografía y enlace de audio]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b w:val="1"/>
          <w:sz w:val="26"/>
          <w:szCs w:val="26"/>
          <w:shd w:val="clear"/>
          <w:rFonts w:ascii="Arial Narrow" w:hAnsi="Arial Narrow"/>
        </w:rPr>
      </w:pPr>
      <w:r>
        <w:fldChar w:fldCharType="begin"/>
      </w:r>
      <w:r>
        <w:instrText xml:space="preserve">HYPERLINK "https://ssweb.seap.minhap.es/almacen/descarga/envio/3bc7a599e7c2a65be78afe75a19c8f067a0f9006"</w:instrText>
      </w:r>
      <w:r>
        <w:fldChar w:fldCharType="separate"/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h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t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t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p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s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: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/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/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s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s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w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b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.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s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p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.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m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i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n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h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p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.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s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/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l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m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c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n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/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d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s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c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r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g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/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n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v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i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o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/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3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b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c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7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5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9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9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7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c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2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6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5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b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7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8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f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e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7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5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1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9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c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8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f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0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6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7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a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0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f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9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0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0</w:t>
      </w:r>
      <w:r>
        <w:rPr>
          <w:rStyle w:val="PO157"/>
          <w:b w:val="1"/>
          <w:sz w:val="26"/>
          <w:szCs w:val="26"/>
          <w:shd w:val="clear"/>
          <w:rFonts w:ascii="Arial Narrow" w:hAnsi="Arial Narrow"/>
        </w:rPr>
        <w:t>6</w:t>
      </w:r>
      <w:r>
        <w:rPr>
          <w:b w:val="1"/>
          <w:sz w:val="26"/>
          <w:szCs w:val="26"/>
          <w:shd w:val="clear"/>
          <w:rFonts w:ascii="Arial Narrow" w:hAnsi="Arial Narrow"/>
        </w:rPr>
        <w:fldChar w:fldCharType="end"/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sectPr>
      <w:headerReference w:type="default" r:id="rId5"/>
      <w:pgSz w:w="11906" w:h="16838"/>
      <w:pgMar w:top="1417" w:left="1701" w:bottom="1417" w:right="1701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"/>
    <w:family w:val="swiss"/>
    <w:pitch w:val="variable"/>
    <w:sig w:usb0="e4002eff" w:usb1="c200247b" w:usb2="00000009" w:usb3="00000000" w:csb0="000001f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1"/>
      <w:rPr>
        <w:shd w:val="clear"/>
      </w:rPr>
    </w:pPr>
    <w:r>
      <w:rPr>
        <w:sz w:val="20"/>
      </w:rPr>
      <w:drawing>
        <wp:inline distT="0" distB="0" distL="0" distR="0">
          <wp:extent cx="6234430" cy="1184275"/>
          <wp:effectExtent l="0" t="0" r="127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Android/data/com.infraware.office.link/files/.polaris_temp/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065" cy="1184910"/>
                  </a:xfrm>
                  <a:prstGeom prst="rect"/>
                  <a:ln cap="flat"/>
                </pic:spPr>
              </pic:pic>
            </a:graphicData>
          </a:graphic>
        </wp:inline>
      </w:drawing>
    </w:r>
  </w:p>
  <w:p>
    <w:pPr>
      <w:pStyle w:val="PO151"/>
      <w:rPr>
        <w:shd w:val="cle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4"/>
        <w:szCs w:val="24"/>
        <w:shd w:val="clear"/>
        <w:rFonts w:asciiTheme="minorHAnsi" w:eastAsiaTheme="minorHAnsi" w:hAnsiTheme="minorHAnsi" w:cstheme="minorBidi"/>
        <w:lang w:bidi="ar-SA" w:eastAsia="en-US" w:val="es-ES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</w:style>
  <w:style w:styleId="PO151" w:type="paragraph">
    <w:name w:val="header"/>
    <w:basedOn w:val="PO1"/>
    <w:link w:val="PO152"/>
    <w:uiPriority w:val="99"/>
    <w:unhideWhenUsed/>
    <w:pPr>
      <w:tabs>
        <w:tab w:val="center" w:pos="4252"/>
        <w:tab w:val="right" w:pos="8504"/>
      </w:tabs>
      <w:rPr/>
    </w:pPr>
  </w:style>
  <w:style w:customStyle="1" w:styleId="PO152" w:type="character">
    <w:name w:val="Encabezado Car"/>
    <w:basedOn w:val="PO2"/>
    <w:link w:val="PO151"/>
    <w:uiPriority w:val="99"/>
  </w:style>
  <w:style w:styleId="PO153" w:type="paragraph">
    <w:name w:val="footer"/>
    <w:basedOn w:val="PO1"/>
    <w:link w:val="PO154"/>
    <w:uiPriority w:val="99"/>
    <w:unhideWhenUsed/>
    <w:pPr>
      <w:tabs>
        <w:tab w:val="center" w:pos="4252"/>
        <w:tab w:val="right" w:pos="8504"/>
      </w:tabs>
      <w:rPr/>
    </w:pPr>
  </w:style>
  <w:style w:customStyle="1" w:styleId="PO154" w:type="character">
    <w:name w:val="Pie de página Car"/>
    <w:basedOn w:val="PO2"/>
    <w:link w:val="PO153"/>
    <w:uiPriority w:val="99"/>
  </w:style>
  <w:style w:styleId="PO155" w:type="paragraph">
    <w:name w:val="Balloon Text"/>
    <w:basedOn w:val="PO1"/>
    <w:link w:val="PO156"/>
    <w:uiPriority w:val="99"/>
    <w:semiHidden/>
    <w:unhideWhenUsed/>
    <w:rPr>
      <w:sz w:val="18"/>
      <w:szCs w:val="18"/>
      <w:shd w:val="clear"/>
      <w:rFonts w:ascii="Segoe UI" w:hAnsi="Segoe UI" w:cs="Segoe UI"/>
    </w:rPr>
  </w:style>
  <w:style w:customStyle="1" w:styleId="PO156" w:type="character">
    <w:name w:val="Texto de globo Car"/>
    <w:basedOn w:val="PO2"/>
    <w:link w:val="PO155"/>
    <w:uiPriority w:val="99"/>
    <w:semiHidden/>
    <w:rPr>
      <w:sz w:val="18"/>
      <w:szCs w:val="18"/>
      <w:shd w:val="clear"/>
      <w:rFonts w:ascii="Segoe UI" w:hAnsi="Segoe UI" w:cs="Segoe UI"/>
    </w:rPr>
  </w:style>
  <w:style w:styleId="PO157" w:type="character">
    <w:name w:val="Hyperlink"/>
    <w:basedOn w:val="PO2"/>
    <w:uiPriority w:val="99"/>
    <w:unhideWhenUsed/>
    <w:rPr>
      <w:color w:val="0563C1" w:themeColor="hyperlink"/>
      <w:u w:val="single"/>
      <w:shd w:val="cle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theme" Target="theme/theme1.xml"></Relationship></Relationships>
</file>

<file path=word/_rels/header2.xml.rels><?xml version="1.0" encoding="UTF-8"?>
<Relationships xmlns="http://schemas.openxmlformats.org/package/2006/relationships"><Relationship Id="rId1" Type="http://schemas.openxmlformats.org/officeDocument/2006/relationships/image" Target="media/image1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4188</Characters>
  <CharactersWithSpaces>0</CharactersWithSpaces>
  <DocSecurity>0</DocSecurity>
  <HyperlinksChanged>false</HyperlinksChanged>
  <Lines>29</Lines>
  <LinksUpToDate>false</LinksUpToDate>
  <Pages>2</Pages>
  <Paragraphs>8</Paragraphs>
  <Words>645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Microsoft Office User</dc:creator>
  <cp:lastModifiedBy/>
  <dcterms:modified xsi:type="dcterms:W3CDTF">2025-10-24T12:09:00Z</dcterms:modified>
</cp:coreProperties>
</file>